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F7261" w14:textId="4B5B1C2A" w:rsidR="00EF24BA" w:rsidRPr="00176C9E" w:rsidRDefault="00055821" w:rsidP="00055821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0"/>
          <w:szCs w:val="22"/>
        </w:rPr>
      </w:pPr>
      <w:r w:rsidRPr="00176C9E">
        <w:rPr>
          <w:sz w:val="20"/>
          <w:szCs w:val="22"/>
        </w:rPr>
        <w:t>П</w:t>
      </w:r>
      <w:r w:rsidR="00EF24BA" w:rsidRPr="00176C9E">
        <w:rPr>
          <w:sz w:val="20"/>
          <w:szCs w:val="22"/>
        </w:rPr>
        <w:t>риложение №</w:t>
      </w:r>
      <w:r w:rsidR="00A50673">
        <w:rPr>
          <w:sz w:val="20"/>
          <w:szCs w:val="22"/>
        </w:rPr>
        <w:t>9</w:t>
      </w:r>
      <w:bookmarkStart w:id="0" w:name="_GoBack"/>
      <w:bookmarkEnd w:id="0"/>
      <w:r w:rsidR="00EF24BA" w:rsidRPr="00176C9E">
        <w:rPr>
          <w:sz w:val="20"/>
          <w:szCs w:val="22"/>
        </w:rPr>
        <w:t xml:space="preserve"> </w:t>
      </w:r>
      <w:r w:rsidR="00261582" w:rsidRPr="00176C9E">
        <w:rPr>
          <w:sz w:val="20"/>
          <w:szCs w:val="22"/>
        </w:rPr>
        <w:t>____</w:t>
      </w:r>
      <w:r w:rsidRPr="00176C9E">
        <w:rPr>
          <w:sz w:val="20"/>
          <w:szCs w:val="22"/>
        </w:rPr>
        <w:t xml:space="preserve"> </w:t>
      </w:r>
      <w:r w:rsidR="00EF24BA" w:rsidRPr="00176C9E">
        <w:rPr>
          <w:sz w:val="20"/>
          <w:szCs w:val="22"/>
        </w:rPr>
        <w:t xml:space="preserve">к </w:t>
      </w:r>
      <w:r w:rsidRPr="00176C9E">
        <w:rPr>
          <w:sz w:val="20"/>
          <w:szCs w:val="22"/>
        </w:rPr>
        <w:t>договору №</w:t>
      </w:r>
      <w:r w:rsidR="00EF24BA" w:rsidRPr="00176C9E">
        <w:rPr>
          <w:sz w:val="20"/>
          <w:szCs w:val="22"/>
        </w:rPr>
        <w:t xml:space="preserve"> </w:t>
      </w:r>
      <w:r w:rsidR="000C7A68" w:rsidRPr="00176C9E">
        <w:rPr>
          <w:sz w:val="20"/>
          <w:szCs w:val="22"/>
        </w:rPr>
        <w:t>____</w:t>
      </w:r>
      <w:r w:rsidR="00EF24BA" w:rsidRPr="00176C9E">
        <w:rPr>
          <w:sz w:val="20"/>
          <w:szCs w:val="22"/>
        </w:rPr>
        <w:t xml:space="preserve"> от «____» </w:t>
      </w:r>
      <w:r w:rsidR="000C7A68" w:rsidRPr="00176C9E">
        <w:rPr>
          <w:sz w:val="20"/>
          <w:szCs w:val="22"/>
        </w:rPr>
        <w:t>_______________</w:t>
      </w:r>
      <w:r w:rsidR="00EF24BA" w:rsidRPr="00176C9E">
        <w:rPr>
          <w:sz w:val="20"/>
          <w:szCs w:val="22"/>
        </w:rPr>
        <w:t xml:space="preserve"> 202</w:t>
      </w:r>
      <w:r w:rsidR="000C7A68" w:rsidRPr="00176C9E">
        <w:rPr>
          <w:sz w:val="20"/>
          <w:szCs w:val="22"/>
        </w:rPr>
        <w:t>__</w:t>
      </w:r>
      <w:r w:rsidR="00176C9E">
        <w:rPr>
          <w:sz w:val="20"/>
          <w:szCs w:val="22"/>
        </w:rPr>
        <w:t xml:space="preserve"> г. </w:t>
      </w:r>
    </w:p>
    <w:p w14:paraId="05EF7262" w14:textId="220CC52F" w:rsidR="00EF24BA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28126BF1" w14:textId="13D6E24C" w:rsidR="005F7D9C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8E3201">
        <w:rPr>
          <w:color w:val="000000" w:themeColor="text1"/>
        </w:rPr>
        <w:t xml:space="preserve">Общество с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>
        <w:rPr>
          <w:color w:val="000000" w:themeColor="text1"/>
        </w:rPr>
        <w:t xml:space="preserve">         </w:t>
      </w:r>
      <w:r w:rsidRPr="008E3201">
        <w:rPr>
          <w:color w:val="000000" w:themeColor="text1"/>
        </w:rPr>
        <w:t>(ООО «Иркутскэнергосбыт»)</w:t>
      </w:r>
      <w:r w:rsidRPr="007B278E">
        <w:rPr>
          <w:sz w:val="22"/>
          <w:szCs w:val="22"/>
          <w:lang w:val="x-none"/>
        </w:rPr>
        <w:t>, именуемое в дальнейшем «</w:t>
      </w:r>
      <w:r>
        <w:rPr>
          <w:sz w:val="22"/>
          <w:szCs w:val="22"/>
        </w:rPr>
        <w:t>Заказчик</w:t>
      </w:r>
      <w:r w:rsidRPr="007B278E">
        <w:rPr>
          <w:sz w:val="22"/>
          <w:szCs w:val="22"/>
          <w:lang w:val="x-none"/>
        </w:rPr>
        <w:t xml:space="preserve">», в лице </w:t>
      </w:r>
      <w:r w:rsidRPr="006841C1">
        <w:t>главного инженера Герасименко Олега Николаевича, действующего на основании доверенности</w:t>
      </w:r>
      <w:r>
        <w:t xml:space="preserve"> </w:t>
      </w:r>
      <w:r w:rsidRPr="006841C1">
        <w:t>№ 187 от 05.04.2021 г.</w:t>
      </w:r>
      <w:r>
        <w:rPr>
          <w:sz w:val="22"/>
          <w:szCs w:val="22"/>
          <w:lang w:val="x-none"/>
        </w:rPr>
        <w:t xml:space="preserve">, с одной стороны, и </w:t>
      </w:r>
      <w:r>
        <w:t>_______________________________</w:t>
      </w:r>
      <w:r w:rsidRPr="007B278E">
        <w:rPr>
          <w:sz w:val="22"/>
          <w:szCs w:val="22"/>
          <w:lang w:val="x-none"/>
        </w:rPr>
        <w:t>, именуем</w:t>
      </w:r>
      <w:r>
        <w:rPr>
          <w:sz w:val="22"/>
          <w:szCs w:val="22"/>
        </w:rPr>
        <w:t>ый</w:t>
      </w:r>
      <w:r w:rsidRPr="007B278E">
        <w:rPr>
          <w:sz w:val="22"/>
          <w:szCs w:val="22"/>
          <w:lang w:val="x-none"/>
        </w:rPr>
        <w:t xml:space="preserve"> в дальнейшем «</w:t>
      </w:r>
      <w:r>
        <w:rPr>
          <w:sz w:val="22"/>
          <w:szCs w:val="22"/>
        </w:rPr>
        <w:t>Подрядчик</w:t>
      </w:r>
      <w:r w:rsidRPr="007B278E">
        <w:rPr>
          <w:sz w:val="22"/>
          <w:szCs w:val="22"/>
          <w:lang w:val="x-none"/>
        </w:rPr>
        <w:t xml:space="preserve">», в лице </w:t>
      </w:r>
      <w:r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>
        <w:t>_______________________________</w:t>
      </w:r>
      <w:r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Pr="007B278E">
        <w:rPr>
          <w:sz w:val="22"/>
          <w:szCs w:val="22"/>
        </w:rPr>
        <w:t xml:space="preserve">, </w:t>
      </w:r>
      <w:r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7B278E">
        <w:rPr>
          <w:sz w:val="22"/>
          <w:szCs w:val="22"/>
          <w:lang w:val="x-none"/>
        </w:rPr>
        <w:t xml:space="preserve">: </w:t>
      </w:r>
    </w:p>
    <w:p w14:paraId="22586AC8" w14:textId="77777777" w:rsidR="005F7D9C" w:rsidRPr="00094613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textAlignment w:val="baseline"/>
        <w:rPr>
          <w:sz w:val="22"/>
          <w:szCs w:val="22"/>
        </w:rPr>
      </w:pP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04477B"/>
    <w:rsid w:val="00055821"/>
    <w:rsid w:val="0008137C"/>
    <w:rsid w:val="000C7A68"/>
    <w:rsid w:val="00176C9E"/>
    <w:rsid w:val="00235AFE"/>
    <w:rsid w:val="0025046F"/>
    <w:rsid w:val="00261582"/>
    <w:rsid w:val="003B5AFF"/>
    <w:rsid w:val="005F7D9C"/>
    <w:rsid w:val="00654788"/>
    <w:rsid w:val="008C78A1"/>
    <w:rsid w:val="0094739A"/>
    <w:rsid w:val="00967282"/>
    <w:rsid w:val="00A50673"/>
    <w:rsid w:val="00B64E20"/>
    <w:rsid w:val="00BD503B"/>
    <w:rsid w:val="00DA73CB"/>
    <w:rsid w:val="00EF24BA"/>
    <w:rsid w:val="00F3137E"/>
    <w:rsid w:val="00F618BD"/>
    <w:rsid w:val="00FB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Шилина Екатерина Яковлевна</cp:lastModifiedBy>
  <cp:revision>18</cp:revision>
  <dcterms:created xsi:type="dcterms:W3CDTF">2023-04-04T00:27:00Z</dcterms:created>
  <dcterms:modified xsi:type="dcterms:W3CDTF">2025-12-16T06:32:00Z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